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附件2：</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《白山市人民政府关</w:t>
      </w:r>
      <w:bookmarkStart w:id="0" w:name="OLE_LINK411"/>
      <w:bookmarkStart w:id="1" w:name="OLE_LINK410"/>
      <w:r>
        <w:rPr>
          <w:rFonts w:hint="eastAsia" w:asciiTheme="majorEastAsia" w:hAnsiTheme="majorEastAsia" w:eastAsiaTheme="majorEastAsia"/>
          <w:sz w:val="44"/>
          <w:szCs w:val="44"/>
        </w:rPr>
        <w:t>于划定禁止使用高</w:t>
      </w:r>
      <w:bookmarkEnd w:id="0"/>
      <w:bookmarkEnd w:id="1"/>
      <w:r>
        <w:rPr>
          <w:rFonts w:hint="eastAsia" w:asciiTheme="majorEastAsia" w:hAnsiTheme="majorEastAsia" w:eastAsiaTheme="majorEastAsia"/>
          <w:sz w:val="44"/>
          <w:szCs w:val="44"/>
        </w:rPr>
        <w:t>排放</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非道路移动机械区域的通告（征求意见稿）》</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编制说明</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为深入打好污染防治攻坚战，持续改善我市环境空气质量，进一步减少非道路移动机械污染物排放，依据《中华人民共和国大气污染防治法》和</w:t>
      </w:r>
      <w:bookmarkStart w:id="2" w:name="OLE_LINK377"/>
      <w:bookmarkStart w:id="3" w:name="OLE_LINK376"/>
      <w:r>
        <w:rPr>
          <w:rFonts w:hint="eastAsia" w:ascii="仿宋" w:hAnsi="仿宋" w:eastAsia="仿宋"/>
          <w:sz w:val="32"/>
          <w:szCs w:val="32"/>
        </w:rPr>
        <w:t>《吉林省机动车和非道路移动机械排放污染防治条例》</w:t>
      </w:r>
      <w:bookmarkEnd w:id="2"/>
      <w:bookmarkEnd w:id="3"/>
      <w:r>
        <w:rPr>
          <w:rFonts w:hint="eastAsia" w:ascii="仿宋" w:hAnsi="仿宋" w:eastAsia="仿宋"/>
          <w:sz w:val="32"/>
          <w:szCs w:val="32"/>
        </w:rPr>
        <w:t>等有关规定，并结合我市实际，编制了《白山市人民政府关于划定禁止使用高排放非道路移动机械区域的通告（征求意见稿）》。</w:t>
      </w:r>
    </w:p>
    <w:p>
      <w:pPr>
        <w:ind w:firstLine="640" w:firstLineChars="200"/>
        <w:rPr>
          <w:rFonts w:ascii="黑体" w:hAnsi="黑体" w:eastAsia="黑体"/>
          <w:sz w:val="32"/>
          <w:szCs w:val="32"/>
        </w:rPr>
      </w:pPr>
      <w:r>
        <w:rPr>
          <w:rFonts w:hint="eastAsia" w:ascii="黑体" w:hAnsi="黑体" w:eastAsia="黑体"/>
          <w:sz w:val="32"/>
          <w:szCs w:val="32"/>
        </w:rPr>
        <w:t>一、《通告》编制的必要性</w:t>
      </w:r>
    </w:p>
    <w:p>
      <w:pPr>
        <w:ind w:firstLine="640" w:firstLineChars="200"/>
        <w:rPr>
          <w:rFonts w:ascii="仿宋" w:hAnsi="仿宋" w:eastAsia="仿宋"/>
          <w:color w:val="FF0000"/>
          <w:sz w:val="32"/>
          <w:szCs w:val="32"/>
        </w:rPr>
      </w:pPr>
      <w:r>
        <w:rPr>
          <w:rFonts w:hint="eastAsia" w:ascii="仿宋" w:hAnsi="仿宋" w:eastAsia="仿宋"/>
          <w:sz w:val="32"/>
          <w:szCs w:val="32"/>
        </w:rPr>
        <w:t>我市于2020年5月首次依法实施禁用高排放机械政策（《白山市人民政府关于划定禁止使用高排放非道路移动机械区域的通告》。政策实施以来，发挥了较好的减排效果，空气质量改善明显。随着PM</w:t>
      </w:r>
      <w:r>
        <w:rPr>
          <w:rFonts w:hint="eastAsia" w:ascii="仿宋" w:hAnsi="仿宋" w:eastAsia="仿宋"/>
          <w:sz w:val="32"/>
          <w:szCs w:val="32"/>
          <w:vertAlign w:val="subscript"/>
        </w:rPr>
        <w:t>2.5</w:t>
      </w:r>
      <w:r>
        <w:rPr>
          <w:rFonts w:hint="eastAsia" w:ascii="仿宋" w:hAnsi="仿宋" w:eastAsia="仿宋"/>
          <w:sz w:val="32"/>
          <w:szCs w:val="32"/>
        </w:rPr>
        <w:t>治理取得显著成效，我市大气污染物减排空间进一步压缩，PM</w:t>
      </w:r>
      <w:r>
        <w:rPr>
          <w:rFonts w:hint="eastAsia" w:ascii="仿宋" w:hAnsi="仿宋" w:eastAsia="仿宋"/>
          <w:sz w:val="32"/>
          <w:szCs w:val="32"/>
          <w:vertAlign w:val="subscript"/>
        </w:rPr>
        <w:t>2.5</w:t>
      </w:r>
      <w:r>
        <w:rPr>
          <w:rFonts w:hint="eastAsia" w:ascii="仿宋" w:hAnsi="仿宋" w:eastAsia="仿宋"/>
          <w:sz w:val="32"/>
          <w:szCs w:val="32"/>
        </w:rPr>
        <w:t>、PM</w:t>
      </w:r>
      <w:r>
        <w:rPr>
          <w:rFonts w:hint="eastAsia" w:ascii="仿宋" w:hAnsi="仿宋" w:eastAsia="仿宋"/>
          <w:sz w:val="32"/>
          <w:szCs w:val="32"/>
          <w:vertAlign w:val="subscript"/>
        </w:rPr>
        <w:t>10</w:t>
      </w:r>
      <w:r>
        <w:rPr>
          <w:rFonts w:hint="eastAsia" w:ascii="仿宋" w:hAnsi="仿宋" w:eastAsia="仿宋"/>
          <w:sz w:val="32"/>
          <w:szCs w:val="32"/>
        </w:rPr>
        <w:t>、二氧化氮等空气质量指标浓度进一步下降面临巨大压力。目前，国Ⅰ及以下老旧机械服役时间较长，污染排放较高，需加快推进淘汰更新。此外，国务院印发的《空气质量持续改善行动计划》及我市推动机械</w:t>
      </w:r>
      <w:bookmarkStart w:id="7" w:name="_GoBack"/>
      <w:bookmarkEnd w:id="7"/>
      <w:r>
        <w:rPr>
          <w:rFonts w:hint="eastAsia" w:ascii="仿宋" w:hAnsi="仿宋" w:eastAsia="仿宋"/>
          <w:sz w:val="32"/>
          <w:szCs w:val="32"/>
        </w:rPr>
        <w:t>清洁化相关工作，均对淘汰老旧机械提出要求。因此，为改善我市环境空气质量，减少老旧机械排放污染，有必要在我市继续划定禁止使用高排放非道路移动机械区域，并提出适应新形势下大气环境管理要求。</w:t>
      </w:r>
    </w:p>
    <w:p>
      <w:pPr>
        <w:ind w:firstLine="640" w:firstLineChars="200"/>
        <w:rPr>
          <w:rFonts w:ascii="黑体" w:hAnsi="黑体" w:eastAsia="黑体"/>
          <w:sz w:val="32"/>
          <w:szCs w:val="32"/>
        </w:rPr>
      </w:pPr>
      <w:r>
        <w:rPr>
          <w:rFonts w:hint="eastAsia" w:ascii="黑体" w:hAnsi="黑体" w:eastAsia="黑体"/>
          <w:sz w:val="32"/>
          <w:szCs w:val="32"/>
        </w:rPr>
        <w:t>二、法律依据</w:t>
      </w:r>
    </w:p>
    <w:p>
      <w:pPr>
        <w:ind w:firstLine="640" w:firstLineChars="200"/>
        <w:rPr>
          <w:rFonts w:ascii="仿宋" w:hAnsi="仿宋" w:eastAsia="仿宋"/>
          <w:sz w:val="32"/>
          <w:szCs w:val="32"/>
        </w:rPr>
      </w:pPr>
      <w:r>
        <w:rPr>
          <w:rFonts w:hint="eastAsia" w:ascii="仿宋" w:hAnsi="仿宋" w:eastAsia="仿宋"/>
          <w:sz w:val="32"/>
          <w:szCs w:val="32"/>
        </w:rPr>
        <w:t>《大气污染防治法》第六十一条规定：“城市人民政府可以根据大气环境质量状况，划定并公布禁止使用高排放非道路移动机械的区域”。《吉林省机动车和非道路移动机械排放污染防治条例》第十六条规定：“市、县级人民政府可以根据城市规划和大气污染防治工作需要，确定禁止或者限制高排放机动车行驶的区域、时段和车型，划定禁止使用高排放非道路移动机械的区域，并设置机动车和非道路移动机械禁止或者限制使用标志。采取上述交通管制措施的，应当在实施三十日之前向社会公告。”因此，我市结合当前大气环境质量状况和大气污染防治需要，调整出台禁止使用高排放机械政策，有充分的法律依据。</w:t>
      </w:r>
    </w:p>
    <w:p>
      <w:pPr>
        <w:ind w:firstLine="640" w:firstLineChars="200"/>
        <w:rPr>
          <w:rFonts w:ascii="黑体" w:hAnsi="黑体" w:eastAsia="黑体"/>
          <w:sz w:val="32"/>
          <w:szCs w:val="32"/>
        </w:rPr>
      </w:pPr>
      <w:r>
        <w:rPr>
          <w:rFonts w:hint="eastAsia" w:ascii="黑体" w:hAnsi="黑体" w:eastAsia="黑体"/>
          <w:sz w:val="32"/>
          <w:szCs w:val="32"/>
        </w:rPr>
        <w:t>三、《通告》主要内容</w:t>
      </w:r>
    </w:p>
    <w:p>
      <w:pPr>
        <w:ind w:firstLine="640" w:firstLineChars="200"/>
        <w:rPr>
          <w:rFonts w:ascii="楷体" w:hAnsi="楷体" w:eastAsia="楷体"/>
          <w:sz w:val="32"/>
          <w:szCs w:val="32"/>
        </w:rPr>
      </w:pPr>
      <w:r>
        <w:rPr>
          <w:rFonts w:hint="eastAsia" w:ascii="楷体" w:hAnsi="楷体" w:eastAsia="楷体"/>
          <w:sz w:val="32"/>
          <w:szCs w:val="32"/>
        </w:rPr>
        <w:t>（一）非道路移动机械的定义</w:t>
      </w:r>
    </w:p>
    <w:p>
      <w:pPr>
        <w:ind w:firstLine="640" w:firstLineChars="200"/>
        <w:rPr>
          <w:rFonts w:ascii="仿宋" w:hAnsi="仿宋" w:eastAsia="仿宋"/>
          <w:sz w:val="32"/>
          <w:szCs w:val="32"/>
        </w:rPr>
      </w:pPr>
      <w:r>
        <w:rPr>
          <w:rFonts w:hint="eastAsia" w:ascii="仿宋" w:hAnsi="仿宋" w:eastAsia="仿宋"/>
          <w:sz w:val="32"/>
          <w:szCs w:val="32"/>
        </w:rPr>
        <w:t>本通告所称非道路移动机械，是指装配有柴油机的移动机械，包括但不限于装载机、挖掘机、推土机、压路机、沥青摊铺机、叉车、非公路用卡车、混凝土输送泵车等机械。</w:t>
      </w:r>
    </w:p>
    <w:p>
      <w:pPr>
        <w:ind w:firstLine="640" w:firstLineChars="200"/>
        <w:rPr>
          <w:rFonts w:ascii="楷体" w:hAnsi="楷体" w:eastAsia="楷体"/>
          <w:sz w:val="32"/>
          <w:szCs w:val="32"/>
        </w:rPr>
      </w:pPr>
      <w:r>
        <w:rPr>
          <w:rFonts w:hint="eastAsia" w:ascii="楷体" w:hAnsi="楷体" w:eastAsia="楷体"/>
          <w:sz w:val="32"/>
          <w:szCs w:val="32"/>
        </w:rPr>
        <w:t>（二）高排放非道路移动机械的标准</w:t>
      </w:r>
    </w:p>
    <w:p>
      <w:pPr>
        <w:ind w:firstLine="640" w:firstLineChars="200"/>
        <w:rPr>
          <w:rFonts w:ascii="仿宋" w:hAnsi="仿宋" w:eastAsia="仿宋"/>
          <w:sz w:val="32"/>
          <w:szCs w:val="32"/>
        </w:rPr>
      </w:pPr>
      <w:r>
        <w:rPr>
          <w:rFonts w:hint="eastAsia" w:ascii="仿宋" w:hAnsi="仿宋" w:eastAsia="仿宋"/>
          <w:sz w:val="32"/>
          <w:szCs w:val="32"/>
        </w:rPr>
        <w:t>《非道路移动机械用柴油机排气污染物排放限值及测量方法（中国Ⅰ、Ⅱ阶段）》（GB20891－2007）中国Ⅰ及以下排放标准（含2009年10月1日前生产的编码登记为X阶段）或者不符合《非道路柴油移动机械排气烟度限值及测量方法》（GB36886－2018）中Ⅲ类限值标准的非道路移动机械。</w:t>
      </w:r>
    </w:p>
    <w:p>
      <w:pPr>
        <w:ind w:firstLine="640" w:firstLineChars="200"/>
        <w:rPr>
          <w:rFonts w:ascii="楷体" w:hAnsi="楷体" w:eastAsia="楷体"/>
          <w:sz w:val="32"/>
          <w:szCs w:val="32"/>
        </w:rPr>
      </w:pPr>
      <w:r>
        <w:rPr>
          <w:rFonts w:hint="eastAsia" w:ascii="楷体" w:hAnsi="楷体" w:eastAsia="楷体"/>
          <w:sz w:val="32"/>
          <w:szCs w:val="32"/>
        </w:rPr>
        <w:t>（三）禁用区域的划定</w:t>
      </w:r>
    </w:p>
    <w:p>
      <w:pPr>
        <w:ind w:firstLine="640" w:firstLineChars="200"/>
        <w:rPr>
          <w:rFonts w:ascii="仿宋" w:hAnsi="仿宋" w:eastAsia="仿宋"/>
          <w:sz w:val="32"/>
          <w:szCs w:val="32"/>
        </w:rPr>
      </w:pPr>
      <w:bookmarkStart w:id="4" w:name="OLE_LINK399"/>
      <w:bookmarkStart w:id="5" w:name="OLE_LINK400"/>
      <w:r>
        <w:rPr>
          <w:rFonts w:hint="eastAsia" w:ascii="仿宋" w:hAnsi="仿宋" w:eastAsia="仿宋"/>
          <w:sz w:val="32"/>
          <w:szCs w:val="32"/>
        </w:rPr>
        <w:t>此次划定禁止使用高排放非道路移动机械区域</w:t>
      </w:r>
      <w:bookmarkEnd w:id="4"/>
      <w:bookmarkEnd w:id="5"/>
      <w:r>
        <w:rPr>
          <w:rFonts w:hint="eastAsia" w:ascii="仿宋" w:hAnsi="仿宋" w:eastAsia="仿宋"/>
          <w:sz w:val="32"/>
          <w:szCs w:val="32"/>
        </w:rPr>
        <w:t>为白山市行政区域内。</w:t>
      </w:r>
    </w:p>
    <w:p>
      <w:pPr>
        <w:ind w:firstLine="640" w:firstLineChars="200"/>
        <w:rPr>
          <w:rFonts w:ascii="仿宋" w:hAnsi="仿宋" w:eastAsia="仿宋"/>
          <w:sz w:val="32"/>
          <w:szCs w:val="32"/>
        </w:rPr>
      </w:pPr>
      <w:r>
        <w:rPr>
          <w:rFonts w:hint="eastAsia" w:ascii="仿宋" w:hAnsi="仿宋" w:eastAsia="仿宋"/>
          <w:sz w:val="32"/>
          <w:szCs w:val="32"/>
        </w:rPr>
        <w:t>执行应急抢险救灾任务时使用的非道路移动机械除外。</w:t>
      </w:r>
    </w:p>
    <w:p>
      <w:pPr>
        <w:ind w:firstLine="640" w:firstLineChars="200"/>
        <w:rPr>
          <w:rFonts w:ascii="楷体" w:hAnsi="楷体" w:eastAsia="楷体"/>
          <w:sz w:val="32"/>
          <w:szCs w:val="32"/>
        </w:rPr>
      </w:pPr>
      <w:bookmarkStart w:id="6" w:name="OLE_LINK392"/>
      <w:r>
        <w:rPr>
          <w:rFonts w:hint="eastAsia" w:ascii="楷体" w:hAnsi="楷体" w:eastAsia="楷体"/>
          <w:sz w:val="32"/>
          <w:szCs w:val="32"/>
        </w:rPr>
        <w:t>（四）其他管理要求</w:t>
      </w:r>
    </w:p>
    <w:p>
      <w:pPr>
        <w:ind w:firstLine="640" w:firstLineChars="200"/>
        <w:rPr>
          <w:rFonts w:ascii="仿宋" w:hAnsi="仿宋" w:eastAsia="仿宋"/>
          <w:sz w:val="32"/>
          <w:szCs w:val="32"/>
        </w:rPr>
      </w:pPr>
      <w:r>
        <w:rPr>
          <w:rFonts w:hint="eastAsia" w:ascii="仿宋" w:hAnsi="仿宋" w:eastAsia="仿宋"/>
          <w:sz w:val="32"/>
          <w:szCs w:val="32"/>
        </w:rPr>
        <w:t>1.鼓励使用电动或氢燃料电池非道路移动机械。</w:t>
      </w:r>
    </w:p>
    <w:p>
      <w:pPr>
        <w:ind w:firstLine="640" w:firstLineChars="200"/>
        <w:rPr>
          <w:rFonts w:ascii="仿宋" w:hAnsi="仿宋" w:eastAsia="仿宋"/>
          <w:sz w:val="32"/>
          <w:szCs w:val="32"/>
        </w:rPr>
      </w:pPr>
      <w:r>
        <w:rPr>
          <w:rFonts w:hint="eastAsia" w:ascii="仿宋" w:hAnsi="仿宋" w:eastAsia="仿宋"/>
          <w:sz w:val="32"/>
          <w:szCs w:val="32"/>
        </w:rPr>
        <w:t>2.对违反本通告规定的，由相关部门依法予以处理。</w:t>
      </w:r>
    </w:p>
    <w:p>
      <w:pPr>
        <w:ind w:firstLine="640" w:firstLineChars="200"/>
        <w:rPr>
          <w:rFonts w:ascii="仿宋" w:hAnsi="仿宋" w:eastAsia="仿宋"/>
          <w:sz w:val="32"/>
          <w:szCs w:val="32"/>
        </w:rPr>
      </w:pPr>
      <w:r>
        <w:rPr>
          <w:rFonts w:hint="eastAsia" w:ascii="仿宋" w:hAnsi="仿宋" w:eastAsia="仿宋"/>
          <w:sz w:val="32"/>
          <w:szCs w:val="32"/>
        </w:rPr>
        <w:t>3.本通告自   年  月  日实施。2019年12月4日</w:t>
      </w:r>
      <w:r>
        <w:rPr>
          <w:rFonts w:hint="eastAsia" w:ascii="仿宋" w:hAnsi="仿宋" w:eastAsia="仿宋"/>
          <w:sz w:val="32"/>
          <w:szCs w:val="32"/>
          <w:lang w:eastAsia="zh-CN"/>
        </w:rPr>
        <w:t>发布</w:t>
      </w:r>
      <w:r>
        <w:rPr>
          <w:rFonts w:hint="eastAsia" w:ascii="仿宋" w:hAnsi="仿宋" w:eastAsia="仿宋"/>
          <w:sz w:val="32"/>
          <w:szCs w:val="32"/>
        </w:rPr>
        <w:t>的《白山市人民政府关于划定禁止使用高排放非道路移动机械区域的通告》同时废止。</w:t>
      </w:r>
    </w:p>
    <w:p>
      <w:pPr>
        <w:ind w:firstLine="640" w:firstLineChars="200"/>
        <w:rPr>
          <w:rFonts w:ascii="仿宋" w:hAnsi="仿宋" w:eastAsia="仿宋"/>
          <w:sz w:val="32"/>
          <w:szCs w:val="32"/>
        </w:rPr>
      </w:pPr>
      <w:r>
        <w:rPr>
          <w:rFonts w:hint="eastAsia" w:ascii="仿宋" w:hAnsi="仿宋" w:eastAsia="仿宋"/>
          <w:sz w:val="32"/>
          <w:szCs w:val="32"/>
        </w:rPr>
        <w:t>　　</w:t>
      </w:r>
      <w:bookmarkEnd w:id="6"/>
    </w:p>
    <w:p>
      <w:pPr>
        <w:ind w:firstLine="640" w:firstLineChars="200"/>
        <w:rPr>
          <w:rFonts w:ascii="仿宋" w:hAnsi="仿宋" w:eastAsia="仿宋"/>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22"/>
    <w:rsid w:val="001F32A5"/>
    <w:rsid w:val="004A6496"/>
    <w:rsid w:val="004D2D7F"/>
    <w:rsid w:val="005A6F6F"/>
    <w:rsid w:val="00877B19"/>
    <w:rsid w:val="0097594C"/>
    <w:rsid w:val="00A562EC"/>
    <w:rsid w:val="00AC5522"/>
    <w:rsid w:val="00D57904"/>
    <w:rsid w:val="00EA781B"/>
    <w:rsid w:val="00F01B0B"/>
    <w:rsid w:val="00F67748"/>
    <w:rsid w:val="7EDF2568"/>
    <w:rsid w:val="F9750724"/>
    <w:rsid w:val="FE7B8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188</Words>
  <Characters>1073</Characters>
  <Lines>8</Lines>
  <Paragraphs>2</Paragraphs>
  <TotalTime>120</TotalTime>
  <ScaleCrop>false</ScaleCrop>
  <LinksUpToDate>false</LinksUpToDate>
  <CharactersWithSpaces>1259</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2025-10-23T03:35:00Z</dcterms:created>
  <dc:creator>Administrator</dc:creator>
  <cp:lastModifiedBy>hjj-142</cp:lastModifiedBy>
  <cp:lastPrinted>2025-10-23T06:26:00Z</cp:lastPrinted>
  <dcterms:modified xsi:type="dcterms:W3CDTF">2025-10-23T09:35:07Z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